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53219" w14:textId="77777777" w:rsidR="00D37BFA" w:rsidRDefault="00D37BFA" w:rsidP="00D37BFA">
      <w:pPr>
        <w:pStyle w:val="yiv1780007293xydpdfef626msolistparagraph"/>
        <w:shd w:val="clear" w:color="auto" w:fill="FFFFFF"/>
        <w:jc w:val="center"/>
        <w:rPr>
          <w:rFonts w:ascii="Arial" w:hAnsi="Arial" w:cs="Arial"/>
          <w:b/>
          <w:color w:val="1D2228"/>
          <w:sz w:val="22"/>
          <w:szCs w:val="20"/>
          <w:lang w:val="el-GR"/>
        </w:rPr>
      </w:pPr>
      <w:r w:rsidRPr="006123AA">
        <w:rPr>
          <w:rFonts w:ascii="Arial" w:hAnsi="Arial" w:cs="Arial"/>
          <w:b/>
          <w:color w:val="1D2228"/>
          <w:sz w:val="22"/>
          <w:szCs w:val="20"/>
          <w:lang w:val="el-GR"/>
        </w:rPr>
        <w:t>ΕΝΗΜΕΡΩΣΗ</w:t>
      </w:r>
    </w:p>
    <w:p w14:paraId="1AEFDD39" w14:textId="77777777" w:rsidR="00D37BFA" w:rsidRPr="00EC18DF" w:rsidRDefault="00D37BFA" w:rsidP="00D37BFA">
      <w:pPr>
        <w:pStyle w:val="yiv1780007293xydpdfef626msolistparagraph"/>
        <w:shd w:val="clear" w:color="auto" w:fill="FFFFFF"/>
        <w:jc w:val="center"/>
        <w:rPr>
          <w:rFonts w:ascii="Arial" w:hAnsi="Arial" w:cs="Arial"/>
          <w:b/>
          <w:color w:val="1D2228"/>
          <w:sz w:val="22"/>
          <w:szCs w:val="20"/>
          <w:lang w:val="el-GR"/>
        </w:rPr>
      </w:pPr>
      <w:r>
        <w:rPr>
          <w:rFonts w:ascii="Arial" w:hAnsi="Arial" w:cs="Arial"/>
          <w:b/>
          <w:color w:val="1D2228"/>
          <w:sz w:val="22"/>
          <w:szCs w:val="20"/>
          <w:lang w:val="el-GR"/>
        </w:rPr>
        <w:t xml:space="preserve">Πρόγραμμα </w:t>
      </w:r>
      <w:r>
        <w:rPr>
          <w:rFonts w:ascii="Arial" w:hAnsi="Arial" w:cs="Arial"/>
          <w:b/>
          <w:color w:val="1D2228"/>
          <w:sz w:val="22"/>
          <w:szCs w:val="20"/>
        </w:rPr>
        <w:t>CLEAR</w:t>
      </w:r>
      <w:r w:rsidRPr="00EC18DF">
        <w:rPr>
          <w:rFonts w:ascii="Arial" w:hAnsi="Arial" w:cs="Arial"/>
          <w:b/>
          <w:color w:val="1D2228"/>
          <w:sz w:val="22"/>
          <w:szCs w:val="20"/>
          <w:lang w:val="el-GR"/>
        </w:rPr>
        <w:t>-</w:t>
      </w:r>
      <w:r>
        <w:rPr>
          <w:rFonts w:ascii="Arial" w:hAnsi="Arial" w:cs="Arial"/>
          <w:b/>
          <w:color w:val="1D2228"/>
          <w:sz w:val="22"/>
          <w:szCs w:val="20"/>
        </w:rPr>
        <w:t>X</w:t>
      </w:r>
    </w:p>
    <w:p w14:paraId="7F069C29" w14:textId="77777777" w:rsidR="00D37BFA" w:rsidRDefault="00D37BFA" w:rsidP="00D37BFA">
      <w:pPr>
        <w:pStyle w:val="yiv1780007293xydpdfef626msolistparagraph"/>
        <w:shd w:val="clear" w:color="auto" w:fill="FFFFFF"/>
        <w:jc w:val="center"/>
        <w:rPr>
          <w:rFonts w:ascii="Arial" w:hAnsi="Arial" w:cs="Arial"/>
          <w:b/>
          <w:color w:val="1D2228"/>
          <w:sz w:val="22"/>
          <w:szCs w:val="20"/>
          <w:lang w:val="el-GR"/>
        </w:rPr>
      </w:pPr>
      <w:r>
        <w:rPr>
          <w:rFonts w:ascii="Arial" w:hAnsi="Arial" w:cs="Arial"/>
          <w:b/>
          <w:color w:val="1D2228"/>
          <w:sz w:val="22"/>
          <w:szCs w:val="20"/>
          <w:lang w:val="el-GR"/>
        </w:rPr>
        <w:t>Θεματική ενότητα 7: Τι είναι το Πιστοποιητικό Ενεργειακής Απόδοσης κτιριακών μονάδων και σε τι εξυπηρετεί τον καταναλωτή;</w:t>
      </w:r>
    </w:p>
    <w:p w14:paraId="3BA1C389" w14:textId="77777777" w:rsidR="00D37BFA" w:rsidRPr="00AE3731" w:rsidRDefault="00D37BFA" w:rsidP="00D37BFA">
      <w:pPr>
        <w:pStyle w:val="yiv1780007293xydpdfef626msolistparagraph"/>
        <w:shd w:val="clear" w:color="auto" w:fill="FFFFFF"/>
        <w:jc w:val="center"/>
        <w:rPr>
          <w:rFonts w:ascii="Arial" w:hAnsi="Arial" w:cs="Arial"/>
          <w:color w:val="1D2228"/>
          <w:sz w:val="22"/>
          <w:szCs w:val="20"/>
          <w:lang w:val="el-GR"/>
        </w:rPr>
      </w:pPr>
    </w:p>
    <w:p w14:paraId="47D73550" w14:textId="77777777" w:rsidR="00D37BFA" w:rsidRPr="00CC7B17" w:rsidRDefault="00D37BFA" w:rsidP="00D37BFA">
      <w:pPr>
        <w:pStyle w:val="yiv1780007293xydpdfef626msolistparagraph"/>
        <w:shd w:val="clear" w:color="auto" w:fill="FFFFFF"/>
        <w:tabs>
          <w:tab w:val="center" w:pos="4680"/>
        </w:tabs>
        <w:rPr>
          <w:rFonts w:asciiTheme="minorHAnsi" w:hAnsiTheme="minorHAnsi" w:cstheme="minorHAnsi"/>
          <w:color w:val="1D2228"/>
          <w:lang w:val="el-GR"/>
        </w:rPr>
      </w:pPr>
      <w:r w:rsidRPr="00CC7B17">
        <w:rPr>
          <w:rFonts w:asciiTheme="minorHAnsi" w:hAnsiTheme="minorHAnsi" w:cstheme="minorHAnsi"/>
          <w:color w:val="1D2228"/>
          <w:lang w:val="el-GR"/>
        </w:rPr>
        <w:t>Αγαπητά μέλη,</w:t>
      </w:r>
    </w:p>
    <w:p w14:paraId="26251009" w14:textId="77777777" w:rsidR="00D37BFA" w:rsidRPr="00CC7B17" w:rsidRDefault="00D37BFA" w:rsidP="00D37BFA">
      <w:pPr>
        <w:pStyle w:val="yiv1780007293xydpdfef626msolistparagraph"/>
        <w:shd w:val="clear" w:color="auto" w:fill="FFFFFF"/>
        <w:tabs>
          <w:tab w:val="center" w:pos="4680"/>
        </w:tabs>
        <w:jc w:val="both"/>
        <w:rPr>
          <w:rFonts w:asciiTheme="minorHAnsi" w:hAnsiTheme="minorHAnsi" w:cstheme="minorHAnsi"/>
          <w:color w:val="1D2228"/>
          <w:lang w:val="el-GR"/>
        </w:rPr>
      </w:pPr>
      <w:r w:rsidRPr="00CC7B17">
        <w:rPr>
          <w:rFonts w:asciiTheme="minorHAnsi" w:hAnsiTheme="minorHAnsi" w:cstheme="minorHAnsi"/>
          <w:color w:val="1D2228"/>
          <w:lang w:val="el-GR"/>
        </w:rPr>
        <w:t xml:space="preserve">Αρκετά συχνά ακούμε και διαβάζουμε για την σημασία της ενεργειακής απόδοσης ηλεκτρομηχανολογικών εγκαταστάσεων και προϊόντων, όρος ο οποίος εισήχθηκε πλέον στην καθημερινότητά μας. Η ενεργειακή απόδοση, πρακτικά, αφορά το ποσό της ενέργειας το οποίο πρέπει να καταναλώσει ένα προϊόν/συσκευή ώστε αυτό να είναι αποδοτικό και λειτουργικό. Το ίδιο ακριβώς συμβαίνει και στην περίπτωση μιας οικοδομής όπου η ενεργειακή της ταυτότητα και συμπεριφορά καθορίζεται μέσω του Πιστοποιητικού Ενεργειακής Απόδοσης </w:t>
      </w:r>
      <w:r w:rsidRPr="00CC7B17">
        <w:rPr>
          <w:rFonts w:asciiTheme="minorHAnsi" w:hAnsiTheme="minorHAnsi" w:cstheme="minorHAnsi"/>
          <w:i/>
          <w:color w:val="1D2228"/>
          <w:lang w:val="el-GR"/>
        </w:rPr>
        <w:t>(εφεξής ‘ΠΕΑ’</w:t>
      </w:r>
      <w:r w:rsidRPr="00CC7B17">
        <w:rPr>
          <w:rFonts w:asciiTheme="minorHAnsi" w:hAnsiTheme="minorHAnsi" w:cstheme="minorHAnsi"/>
          <w:color w:val="1D2228"/>
          <w:lang w:val="el-GR"/>
        </w:rPr>
        <w:t>).</w:t>
      </w:r>
    </w:p>
    <w:p w14:paraId="76E4F82A" w14:textId="77777777" w:rsidR="00D37BFA" w:rsidRPr="00CC7B17" w:rsidRDefault="00D37BFA" w:rsidP="00D37BFA">
      <w:pPr>
        <w:pStyle w:val="yiv1780007293xydpdfef626msolistparagraph"/>
        <w:shd w:val="clear" w:color="auto" w:fill="FFFFFF"/>
        <w:tabs>
          <w:tab w:val="center" w:pos="4680"/>
        </w:tabs>
        <w:jc w:val="both"/>
        <w:rPr>
          <w:rFonts w:asciiTheme="minorHAnsi" w:hAnsiTheme="minorHAnsi" w:cstheme="minorHAnsi"/>
          <w:color w:val="1D2228"/>
          <w:lang w:val="el-GR"/>
        </w:rPr>
      </w:pPr>
      <w:r w:rsidRPr="00CC7B17">
        <w:rPr>
          <w:rFonts w:asciiTheme="minorHAnsi" w:hAnsiTheme="minorHAnsi" w:cstheme="minorHAnsi"/>
          <w:color w:val="1D2228"/>
          <w:lang w:val="el-GR"/>
        </w:rPr>
        <w:t>Το ΠΕΑ λειτουργεί ως σημαντικό εργαλείο στους καταναλωτές, αφού εξηγεί πόση θέρμανση και ψύξη χρειάζεται η κτιριακή τους μονάδα για να τους προσφέρει θερμική άνεση, τις ετήσιες εκπομπές CO2 από τη χρήση ενέργειας και τη συμβολή των ανανεώσιμων πηγών ενέργειας στην ικανοποίηση των ενεργειακών αναγκών του κτιρίου</w:t>
      </w:r>
      <w:r>
        <w:rPr>
          <w:rStyle w:val="FootnoteReference"/>
          <w:rFonts w:asciiTheme="minorHAnsi" w:hAnsiTheme="minorHAnsi" w:cstheme="minorHAnsi"/>
          <w:color w:val="1D2228"/>
          <w:lang w:val="el-GR"/>
        </w:rPr>
        <w:footnoteReference w:id="1"/>
      </w:r>
      <w:r w:rsidRPr="00CC7B17">
        <w:rPr>
          <w:rFonts w:asciiTheme="minorHAnsi" w:hAnsiTheme="minorHAnsi" w:cstheme="minorHAnsi"/>
          <w:color w:val="1D2228"/>
          <w:lang w:val="el-GR"/>
        </w:rPr>
        <w:t xml:space="preserve">. Επιπρόσθετα, το πιστοποιητικό αυτό, βαθμολογεί και κατατάσσει τα κτίρια σε </w:t>
      </w:r>
      <w:r w:rsidRPr="000E3E56">
        <w:rPr>
          <w:rFonts w:asciiTheme="minorHAnsi" w:hAnsiTheme="minorHAnsi" w:cstheme="minorHAnsi"/>
          <w:lang w:val="el-GR"/>
        </w:rPr>
        <w:t>ενεργειακές κατηγορίες με κλίμακα από το Α μέχρι το Η,</w:t>
      </w:r>
      <w:r w:rsidRPr="00CC7B17">
        <w:rPr>
          <w:rFonts w:asciiTheme="minorHAnsi" w:hAnsiTheme="minorHAnsi" w:cstheme="minorHAnsi"/>
          <w:color w:val="1D2228"/>
          <w:lang w:val="el-GR"/>
        </w:rPr>
        <w:t xml:space="preserve"> όπου η κατηγορία Α αντιπροσωπεύει τα κτίρια ή τις κτιριακές μονάδες με την πιο υψηλή ενεργειακή απόδοση ενώ η Η αφο</w:t>
      </w:r>
      <w:bookmarkStart w:id="0" w:name="_GoBack"/>
      <w:bookmarkEnd w:id="0"/>
      <w:r w:rsidRPr="00CC7B17">
        <w:rPr>
          <w:rFonts w:asciiTheme="minorHAnsi" w:hAnsiTheme="minorHAnsi" w:cstheme="minorHAnsi"/>
          <w:color w:val="1D2228"/>
          <w:lang w:val="el-GR"/>
        </w:rPr>
        <w:t>ρά κτήρια χαμηλής ενεργειακής απόδοσης.</w:t>
      </w:r>
    </w:p>
    <w:p w14:paraId="49116DBA" w14:textId="77777777" w:rsidR="00D37BFA" w:rsidRPr="00CC7B17" w:rsidRDefault="00D37BFA" w:rsidP="00D37BFA">
      <w:pPr>
        <w:jc w:val="both"/>
        <w:rPr>
          <w:rFonts w:eastAsia="Times New Roman" w:cstheme="minorHAnsi"/>
          <w:color w:val="1D2228"/>
          <w:sz w:val="24"/>
          <w:szCs w:val="24"/>
          <w:lang w:val="el-GR"/>
        </w:rPr>
      </w:pPr>
      <w:r w:rsidRPr="00CC7B17">
        <w:rPr>
          <w:rFonts w:eastAsia="Times New Roman" w:cstheme="minorHAnsi"/>
          <w:color w:val="1D2228"/>
          <w:sz w:val="24"/>
          <w:szCs w:val="24"/>
          <w:lang w:val="el-GR"/>
        </w:rPr>
        <w:t>Ο ιδιοκτήτης της κτιριακής μονάδας υποχρεούται να μεριμνήσει στην έκδοση του ΠΕΑ στις πιο κάτω περιπτώσεις:</w:t>
      </w:r>
    </w:p>
    <w:p w14:paraId="3CAB45D2" w14:textId="77777777" w:rsidR="00D37BFA" w:rsidRPr="00CC7B17" w:rsidRDefault="00D37BFA" w:rsidP="00D37BFA">
      <w:pPr>
        <w:numPr>
          <w:ilvl w:val="0"/>
          <w:numId w:val="1"/>
        </w:numPr>
        <w:shd w:val="clear" w:color="auto" w:fill="FFFFFF"/>
        <w:spacing w:before="100" w:beforeAutospacing="1" w:after="100" w:afterAutospacing="1" w:line="240" w:lineRule="auto"/>
        <w:jc w:val="both"/>
        <w:rPr>
          <w:rFonts w:eastAsia="Times New Roman" w:cstheme="minorHAnsi"/>
          <w:color w:val="1D2228"/>
          <w:sz w:val="24"/>
          <w:szCs w:val="24"/>
          <w:lang w:val="el-GR"/>
        </w:rPr>
      </w:pPr>
      <w:r w:rsidRPr="00CC7B17">
        <w:rPr>
          <w:rFonts w:eastAsia="Times New Roman" w:cstheme="minorHAnsi"/>
          <w:color w:val="1D2228"/>
          <w:sz w:val="24"/>
          <w:szCs w:val="24"/>
          <w:lang w:val="el-GR"/>
        </w:rPr>
        <w:t>Για κτίρια ή και κτηριακές μονάδες που κατασκευάζονται.</w:t>
      </w:r>
    </w:p>
    <w:p w14:paraId="11A26D8C" w14:textId="77777777" w:rsidR="00D37BFA" w:rsidRPr="00CC7B17" w:rsidRDefault="00D37BFA" w:rsidP="00D37BFA">
      <w:pPr>
        <w:numPr>
          <w:ilvl w:val="0"/>
          <w:numId w:val="1"/>
        </w:numPr>
        <w:shd w:val="clear" w:color="auto" w:fill="FFFFFF"/>
        <w:spacing w:before="100" w:beforeAutospacing="1" w:after="100" w:afterAutospacing="1" w:line="240" w:lineRule="auto"/>
        <w:jc w:val="both"/>
        <w:rPr>
          <w:rFonts w:eastAsia="Times New Roman" w:cstheme="minorHAnsi"/>
          <w:color w:val="1D2228"/>
          <w:sz w:val="24"/>
          <w:szCs w:val="24"/>
          <w:lang w:val="el-GR"/>
        </w:rPr>
      </w:pPr>
      <w:r w:rsidRPr="00CC7B17">
        <w:rPr>
          <w:rFonts w:eastAsia="Times New Roman" w:cstheme="minorHAnsi"/>
          <w:color w:val="1D2228"/>
          <w:sz w:val="24"/>
          <w:szCs w:val="24"/>
          <w:lang w:val="el-GR"/>
        </w:rPr>
        <w:t>Για κτίρια ή και κτιριακές μονάδες που διατίθενται προς πώληση ή/και πωλούνται.</w:t>
      </w:r>
    </w:p>
    <w:p w14:paraId="1F5148B0" w14:textId="77777777" w:rsidR="00D37BFA" w:rsidRPr="00CC7B17" w:rsidRDefault="00D37BFA" w:rsidP="00D37BFA">
      <w:pPr>
        <w:numPr>
          <w:ilvl w:val="0"/>
          <w:numId w:val="1"/>
        </w:numPr>
        <w:shd w:val="clear" w:color="auto" w:fill="FFFFFF"/>
        <w:spacing w:before="100" w:beforeAutospacing="1" w:after="100" w:afterAutospacing="1" w:line="240" w:lineRule="auto"/>
        <w:jc w:val="both"/>
        <w:rPr>
          <w:rFonts w:eastAsia="Times New Roman" w:cstheme="minorHAnsi"/>
          <w:color w:val="1D2228"/>
          <w:sz w:val="24"/>
          <w:szCs w:val="24"/>
          <w:lang w:val="el-GR"/>
        </w:rPr>
      </w:pPr>
      <w:r w:rsidRPr="00CC7B17">
        <w:rPr>
          <w:rFonts w:eastAsia="Times New Roman" w:cstheme="minorHAnsi"/>
          <w:color w:val="1D2228"/>
          <w:sz w:val="24"/>
          <w:szCs w:val="24"/>
          <w:lang w:val="el-GR"/>
        </w:rPr>
        <w:t>Για κτίρια ή και κτιριακές μονάδες που διατίθενται προς ενοικίαση ή και εκμισθώνονται σε νέο ενοικιαστή.</w:t>
      </w:r>
    </w:p>
    <w:p w14:paraId="0C5E3D97" w14:textId="026D0680" w:rsidR="00D37BFA" w:rsidRPr="00CC7B17" w:rsidRDefault="00D37BFA" w:rsidP="00D37BFA">
      <w:pPr>
        <w:numPr>
          <w:ilvl w:val="0"/>
          <w:numId w:val="1"/>
        </w:numPr>
        <w:shd w:val="clear" w:color="auto" w:fill="FFFFFF"/>
        <w:spacing w:before="100" w:beforeAutospacing="1" w:after="100" w:afterAutospacing="1" w:line="240" w:lineRule="auto"/>
        <w:jc w:val="both"/>
        <w:rPr>
          <w:rFonts w:eastAsia="Times New Roman" w:cstheme="minorHAnsi"/>
          <w:color w:val="1D2228"/>
          <w:sz w:val="24"/>
          <w:szCs w:val="24"/>
          <w:lang w:val="el-GR"/>
        </w:rPr>
      </w:pPr>
      <w:r w:rsidRPr="00CC7B17">
        <w:rPr>
          <w:rFonts w:eastAsia="Times New Roman" w:cstheme="minorHAnsi"/>
          <w:color w:val="1D2228"/>
          <w:sz w:val="24"/>
          <w:szCs w:val="24"/>
          <w:lang w:val="el-GR"/>
        </w:rPr>
        <w:t xml:space="preserve">Για κτίρια στα οποία η συνολική ωφέλιμη επιφάνεια άνω των 250τ.μ. χρησιμοποιείται από δημόσια αρχή και τα </w:t>
      </w:r>
      <w:r>
        <w:rPr>
          <w:rFonts w:eastAsia="Times New Roman" w:cstheme="minorHAnsi"/>
          <w:color w:val="1D2228"/>
          <w:sz w:val="24"/>
          <w:szCs w:val="24"/>
          <w:lang w:val="el-GR"/>
        </w:rPr>
        <w:t xml:space="preserve">οποία </w:t>
      </w:r>
      <w:r w:rsidRPr="00CC7B17">
        <w:rPr>
          <w:rFonts w:eastAsia="Times New Roman" w:cstheme="minorHAnsi"/>
          <w:color w:val="1D2228"/>
          <w:sz w:val="24"/>
          <w:szCs w:val="24"/>
          <w:lang w:val="el-GR"/>
        </w:rPr>
        <w:t xml:space="preserve">επισκέπτεται συχνά το κοινό. </w:t>
      </w:r>
    </w:p>
    <w:p w14:paraId="166D7F6F" w14:textId="0CFA892C" w:rsidR="00D37BFA" w:rsidRPr="00CC7B17" w:rsidRDefault="00D37BFA" w:rsidP="00D37BFA">
      <w:pPr>
        <w:shd w:val="clear" w:color="auto" w:fill="FFFFFF"/>
        <w:spacing w:before="100" w:beforeAutospacing="1" w:after="100" w:afterAutospacing="1" w:line="240" w:lineRule="auto"/>
        <w:jc w:val="both"/>
        <w:rPr>
          <w:rFonts w:eastAsia="Times New Roman" w:cstheme="minorHAnsi"/>
          <w:color w:val="1D2228"/>
          <w:sz w:val="24"/>
          <w:szCs w:val="24"/>
          <w:lang w:val="el-GR"/>
        </w:rPr>
      </w:pPr>
      <w:r w:rsidRPr="00CC7B17">
        <w:rPr>
          <w:rFonts w:eastAsia="Times New Roman" w:cstheme="minorHAnsi"/>
          <w:color w:val="1D2228"/>
          <w:sz w:val="24"/>
          <w:szCs w:val="24"/>
          <w:lang w:val="el-GR"/>
        </w:rPr>
        <w:t xml:space="preserve">Στις </w:t>
      </w:r>
      <w:r>
        <w:rPr>
          <w:rFonts w:eastAsia="Times New Roman" w:cstheme="minorHAnsi"/>
          <w:color w:val="1D2228"/>
          <w:sz w:val="24"/>
          <w:szCs w:val="24"/>
          <w:lang w:val="el-GR"/>
        </w:rPr>
        <w:t xml:space="preserve">πιο πάνω </w:t>
      </w:r>
      <w:r w:rsidRPr="00CC7B17">
        <w:rPr>
          <w:rFonts w:eastAsia="Times New Roman" w:cstheme="minorHAnsi"/>
          <w:color w:val="1D2228"/>
          <w:sz w:val="24"/>
          <w:szCs w:val="24"/>
          <w:lang w:val="el-GR"/>
        </w:rPr>
        <w:t>περιπτώσεις που αφορούν τη</w:t>
      </w:r>
      <w:r w:rsidR="000E3E56">
        <w:rPr>
          <w:rFonts w:eastAsia="Times New Roman" w:cstheme="minorHAnsi"/>
          <w:color w:val="1D2228"/>
          <w:sz w:val="24"/>
          <w:szCs w:val="24"/>
          <w:lang w:val="el-GR"/>
        </w:rPr>
        <w:t xml:space="preserve">ν κατασκευή, πώληση ή εκμίσθωση </w:t>
      </w:r>
      <w:r>
        <w:rPr>
          <w:rFonts w:eastAsia="Times New Roman" w:cstheme="minorHAnsi"/>
          <w:color w:val="1D2228"/>
          <w:sz w:val="24"/>
          <w:szCs w:val="24"/>
          <w:lang w:val="el-GR"/>
        </w:rPr>
        <w:t xml:space="preserve">μιας </w:t>
      </w:r>
      <w:r w:rsidRPr="00CC7B17">
        <w:rPr>
          <w:rFonts w:eastAsia="Times New Roman" w:cstheme="minorHAnsi"/>
          <w:color w:val="1D2228"/>
          <w:sz w:val="24"/>
          <w:szCs w:val="24"/>
          <w:lang w:val="el-GR"/>
        </w:rPr>
        <w:t xml:space="preserve">ιδιοκτησίας, θα πρέπει να εκδίδεται ΠΕΑ το οποίο θα πρέπει να </w:t>
      </w:r>
      <w:r>
        <w:rPr>
          <w:rFonts w:eastAsia="Times New Roman" w:cstheme="minorHAnsi"/>
          <w:color w:val="1D2228"/>
          <w:sz w:val="24"/>
          <w:szCs w:val="24"/>
          <w:lang w:val="el-GR"/>
        </w:rPr>
        <w:t xml:space="preserve">επιδεικνύεται </w:t>
      </w:r>
      <w:r w:rsidRPr="00CC7B17">
        <w:rPr>
          <w:rFonts w:eastAsia="Times New Roman" w:cstheme="minorHAnsi"/>
          <w:color w:val="1D2228"/>
          <w:sz w:val="24"/>
          <w:szCs w:val="24"/>
          <w:lang w:val="el-GR"/>
        </w:rPr>
        <w:t>στον υποψήφιο αγοραστή ή ενοικιαστή και πρέπει να δηλώνεται σε όλες τις εμπορικές διαφημίσεις.</w:t>
      </w:r>
    </w:p>
    <w:p w14:paraId="01BE73EF" w14:textId="77777777" w:rsidR="00D37BFA" w:rsidRPr="00CC7B17" w:rsidRDefault="00D37BFA" w:rsidP="00D37BFA">
      <w:pPr>
        <w:shd w:val="clear" w:color="auto" w:fill="FFFFFF"/>
        <w:spacing w:after="100" w:afterAutospacing="1" w:line="240" w:lineRule="auto"/>
        <w:jc w:val="both"/>
        <w:rPr>
          <w:rFonts w:eastAsia="Times New Roman" w:cstheme="minorHAnsi"/>
          <w:color w:val="212529"/>
          <w:sz w:val="24"/>
          <w:szCs w:val="24"/>
          <w:lang w:val="el-GR"/>
        </w:rPr>
      </w:pPr>
      <w:r w:rsidRPr="00CC7B17">
        <w:rPr>
          <w:rFonts w:eastAsia="Times New Roman" w:cstheme="minorHAnsi"/>
          <w:color w:val="212529"/>
          <w:sz w:val="24"/>
          <w:szCs w:val="24"/>
          <w:lang w:val="el-GR"/>
        </w:rPr>
        <w:lastRenderedPageBreak/>
        <w:t>Περιπτώσεις κατά τις οποίες η έκδοση ΠΕΑ δεν είναι απαραίτητη</w:t>
      </w:r>
      <w:r w:rsidRPr="00CC7B17">
        <w:rPr>
          <w:rStyle w:val="FootnoteReference"/>
          <w:rFonts w:eastAsia="Times New Roman" w:cstheme="minorHAnsi"/>
          <w:color w:val="212529"/>
          <w:sz w:val="24"/>
          <w:szCs w:val="24"/>
          <w:lang w:val="el-GR"/>
        </w:rPr>
        <w:footnoteReference w:id="2"/>
      </w:r>
      <w:r w:rsidRPr="00CC7B17">
        <w:rPr>
          <w:rFonts w:eastAsia="Times New Roman" w:cstheme="minorHAnsi"/>
          <w:color w:val="212529"/>
          <w:sz w:val="24"/>
          <w:szCs w:val="24"/>
          <w:lang w:val="el-GR"/>
        </w:rPr>
        <w:t>:</w:t>
      </w:r>
    </w:p>
    <w:p w14:paraId="02724A8E" w14:textId="77777777" w:rsidR="00D37BFA" w:rsidRPr="00CC7B17" w:rsidRDefault="00D37BFA" w:rsidP="00D37BFA">
      <w:pPr>
        <w:numPr>
          <w:ilvl w:val="0"/>
          <w:numId w:val="2"/>
        </w:numPr>
        <w:shd w:val="clear" w:color="auto" w:fill="FFFFFF"/>
        <w:spacing w:before="100" w:beforeAutospacing="1" w:after="100" w:afterAutospacing="1" w:line="240" w:lineRule="auto"/>
        <w:jc w:val="both"/>
        <w:rPr>
          <w:rFonts w:eastAsia="Times New Roman" w:cstheme="minorHAnsi"/>
          <w:color w:val="212529"/>
          <w:sz w:val="24"/>
          <w:szCs w:val="24"/>
          <w:lang w:val="el-GR"/>
        </w:rPr>
      </w:pPr>
      <w:r w:rsidRPr="00CC7B17">
        <w:rPr>
          <w:rFonts w:eastAsia="Times New Roman" w:cstheme="minorHAnsi"/>
          <w:color w:val="212529"/>
          <w:sz w:val="24"/>
          <w:szCs w:val="24"/>
          <w:lang w:val="el-GR"/>
        </w:rPr>
        <w:t>Τμήματα ή σύνολο βιομηχανικών ή βιοτεχνικών κτιρίων ή αποθηκών, για τα οποία δεν χρησιμοποιείται ενέργεια προς ρύθμιση των εσωτερικών κλιματικών συνθηκών και χρησιμοποιούνται για αμιγώς βιομηχανική, βιοτεχνική ή αποθηκευτική χρήση. Βοηθητικοί χώροι με συνολική ωφέλιμη επιφάνεια κάτω των 50 τετραγωνικών μέτρων για τους οποίους χρησιμοποιείται ενέργεια προς ρύθμιση των εσωτερικών κλιματικών συνθηκών που αποτελούν μέρος των υπό αναφορά κτιρίων.</w:t>
      </w:r>
    </w:p>
    <w:p w14:paraId="75A2DBF0" w14:textId="77777777" w:rsidR="00D37BFA" w:rsidRPr="00CC7B17" w:rsidRDefault="00D37BFA" w:rsidP="00D37BFA">
      <w:pPr>
        <w:numPr>
          <w:ilvl w:val="0"/>
          <w:numId w:val="2"/>
        </w:numPr>
        <w:shd w:val="clear" w:color="auto" w:fill="FFFFFF"/>
        <w:spacing w:before="100" w:beforeAutospacing="1" w:after="100" w:afterAutospacing="1" w:line="240" w:lineRule="auto"/>
        <w:jc w:val="both"/>
        <w:rPr>
          <w:rFonts w:eastAsia="Times New Roman" w:cstheme="minorHAnsi"/>
          <w:color w:val="212529"/>
          <w:sz w:val="24"/>
          <w:szCs w:val="24"/>
          <w:lang w:val="el-GR"/>
        </w:rPr>
      </w:pPr>
      <w:r w:rsidRPr="00CC7B17">
        <w:rPr>
          <w:rFonts w:eastAsia="Times New Roman" w:cstheme="minorHAnsi"/>
          <w:color w:val="212529"/>
          <w:sz w:val="24"/>
          <w:szCs w:val="24"/>
          <w:lang w:val="el-GR"/>
        </w:rPr>
        <w:t>Αγροτικά μη κατοικήσιμα από ανθρώπους κτίρια τα οποία έχουν χαμηλές ενεργειακές απαιτήσεις, ή που χρησιμοποιούνται σε τομέα που καλύπτεται από ειδική συμφωνία για ενεργειακή απόδοση.</w:t>
      </w:r>
    </w:p>
    <w:p w14:paraId="03DC796D" w14:textId="77777777" w:rsidR="00D37BFA" w:rsidRPr="00CC7B17" w:rsidRDefault="00D37BFA" w:rsidP="00D37BFA">
      <w:pPr>
        <w:numPr>
          <w:ilvl w:val="0"/>
          <w:numId w:val="2"/>
        </w:numPr>
        <w:shd w:val="clear" w:color="auto" w:fill="FFFFFF"/>
        <w:spacing w:before="100" w:beforeAutospacing="1" w:after="100" w:afterAutospacing="1" w:line="240" w:lineRule="auto"/>
        <w:jc w:val="both"/>
        <w:rPr>
          <w:rFonts w:eastAsia="Times New Roman" w:cstheme="minorHAnsi"/>
          <w:color w:val="212529"/>
          <w:sz w:val="24"/>
          <w:szCs w:val="24"/>
          <w:lang w:val="el-GR"/>
        </w:rPr>
      </w:pPr>
      <w:r w:rsidRPr="00CC7B17">
        <w:rPr>
          <w:rFonts w:eastAsia="Times New Roman" w:cstheme="minorHAnsi"/>
          <w:color w:val="212529"/>
          <w:sz w:val="24"/>
          <w:szCs w:val="24"/>
          <w:lang w:val="el-GR"/>
        </w:rPr>
        <w:t>Μεμονωμένα κτίρια με συνολική ωφέλιμη επιφάνεια κάτω των 50 τ.μ..</w:t>
      </w:r>
    </w:p>
    <w:p w14:paraId="3C2B0485" w14:textId="296D5E53" w:rsidR="00D37BFA" w:rsidRPr="00CC7B17" w:rsidRDefault="00D37BFA" w:rsidP="00D37BFA">
      <w:pPr>
        <w:numPr>
          <w:ilvl w:val="0"/>
          <w:numId w:val="2"/>
        </w:numPr>
        <w:shd w:val="clear" w:color="auto" w:fill="FFFFFF"/>
        <w:spacing w:before="100" w:beforeAutospacing="1" w:after="100" w:afterAutospacing="1" w:line="240" w:lineRule="auto"/>
        <w:jc w:val="both"/>
        <w:rPr>
          <w:rFonts w:eastAsia="Times New Roman" w:cstheme="minorHAnsi"/>
          <w:color w:val="212529"/>
          <w:sz w:val="24"/>
          <w:szCs w:val="24"/>
          <w:lang w:val="el-GR"/>
        </w:rPr>
      </w:pPr>
      <w:r w:rsidRPr="00CC7B17">
        <w:rPr>
          <w:rFonts w:eastAsia="Times New Roman" w:cstheme="minorHAnsi"/>
          <w:color w:val="212529"/>
          <w:sz w:val="24"/>
          <w:szCs w:val="24"/>
          <w:lang w:val="el-GR"/>
        </w:rPr>
        <w:t xml:space="preserve">Κτίρια που χρησιμοποιούνται ως θρησκευτικοί </w:t>
      </w:r>
      <w:r>
        <w:rPr>
          <w:rFonts w:eastAsia="Times New Roman" w:cstheme="minorHAnsi"/>
          <w:color w:val="212529"/>
          <w:sz w:val="24"/>
          <w:szCs w:val="24"/>
          <w:lang w:val="el-GR"/>
        </w:rPr>
        <w:t>χώροι.</w:t>
      </w:r>
    </w:p>
    <w:p w14:paraId="59592573" w14:textId="77777777" w:rsidR="00D37BFA" w:rsidRPr="00CC7B17" w:rsidRDefault="00D37BFA" w:rsidP="00D37BFA">
      <w:pPr>
        <w:shd w:val="clear" w:color="auto" w:fill="FFFFFF"/>
        <w:spacing w:after="100" w:afterAutospacing="1" w:line="240" w:lineRule="auto"/>
        <w:jc w:val="both"/>
        <w:rPr>
          <w:rFonts w:eastAsia="Times New Roman" w:cstheme="minorHAnsi"/>
          <w:color w:val="212529"/>
          <w:sz w:val="24"/>
          <w:szCs w:val="24"/>
          <w:lang w:val="el-GR"/>
        </w:rPr>
      </w:pPr>
      <w:r w:rsidRPr="00CC7B17">
        <w:rPr>
          <w:rFonts w:eastAsia="Times New Roman" w:cstheme="minorHAnsi"/>
          <w:color w:val="212529"/>
          <w:sz w:val="24"/>
          <w:szCs w:val="24"/>
          <w:lang w:val="el-GR"/>
        </w:rPr>
        <w:t>Το ΠΕΑ πρέπει πάντα να συνοδεύεται από συστάσεις για βελτίωση της ενεργειακής απόδοσης του κτιρίου ή της κτιριακής μονάδας.</w:t>
      </w:r>
    </w:p>
    <w:p w14:paraId="4BFEA363" w14:textId="77777777" w:rsidR="00D37BFA" w:rsidRPr="00CC7B17" w:rsidRDefault="00D37BFA" w:rsidP="00D37BFA">
      <w:pPr>
        <w:shd w:val="clear" w:color="auto" w:fill="FFFFFF"/>
        <w:spacing w:after="100" w:afterAutospacing="1" w:line="240" w:lineRule="auto"/>
        <w:jc w:val="both"/>
        <w:rPr>
          <w:rFonts w:eastAsia="Times New Roman" w:cstheme="minorHAnsi"/>
          <w:color w:val="212529"/>
          <w:sz w:val="24"/>
          <w:szCs w:val="24"/>
          <w:lang w:val="el-GR"/>
        </w:rPr>
      </w:pPr>
      <w:r w:rsidRPr="00CC7B17">
        <w:rPr>
          <w:rFonts w:eastAsia="Times New Roman" w:cstheme="minorHAnsi"/>
          <w:color w:val="212529"/>
          <w:sz w:val="24"/>
          <w:szCs w:val="24"/>
          <w:lang w:val="el-GR"/>
        </w:rPr>
        <w:t>Τα</w:t>
      </w:r>
      <w:r>
        <w:rPr>
          <w:rFonts w:eastAsia="Times New Roman" w:cstheme="minorHAnsi"/>
          <w:color w:val="212529"/>
          <w:sz w:val="24"/>
          <w:szCs w:val="24"/>
          <w:lang w:val="el-GR"/>
        </w:rPr>
        <w:t xml:space="preserve"> δεκαετής ισχύος</w:t>
      </w:r>
      <w:r w:rsidRPr="00CC7B17">
        <w:rPr>
          <w:rFonts w:eastAsia="Times New Roman" w:cstheme="minorHAnsi"/>
          <w:color w:val="212529"/>
          <w:sz w:val="24"/>
          <w:szCs w:val="24"/>
          <w:lang w:val="el-GR"/>
        </w:rPr>
        <w:t xml:space="preserve"> </w:t>
      </w:r>
      <w:r>
        <w:rPr>
          <w:rFonts w:eastAsia="Times New Roman" w:cstheme="minorHAnsi"/>
          <w:color w:val="212529"/>
          <w:sz w:val="24"/>
          <w:szCs w:val="24"/>
          <w:lang w:val="el-GR"/>
        </w:rPr>
        <w:t>ΠΕΑ</w:t>
      </w:r>
      <w:r w:rsidRPr="00CC7B17">
        <w:rPr>
          <w:rFonts w:eastAsia="Times New Roman" w:cstheme="minorHAnsi"/>
          <w:color w:val="212529"/>
          <w:sz w:val="24"/>
          <w:szCs w:val="24"/>
          <w:lang w:val="el-GR"/>
        </w:rPr>
        <w:t xml:space="preserve"> εκδίδονται μόνο από</w:t>
      </w:r>
      <w:r w:rsidRPr="00CC7B17">
        <w:rPr>
          <w:rFonts w:eastAsia="Times New Roman" w:cstheme="minorHAnsi"/>
          <w:color w:val="212529"/>
          <w:sz w:val="24"/>
          <w:szCs w:val="24"/>
        </w:rPr>
        <w:t> </w:t>
      </w:r>
      <w:hyperlink r:id="rId8" w:tgtFrame="_blank" w:history="1">
        <w:r w:rsidRPr="00CC7B17">
          <w:rPr>
            <w:rStyle w:val="Hyperlink"/>
            <w:rFonts w:eastAsia="Times New Roman" w:cstheme="minorHAnsi"/>
            <w:color w:val="007BFF"/>
            <w:sz w:val="24"/>
            <w:szCs w:val="24"/>
            <w:lang w:val="el-GR"/>
          </w:rPr>
          <w:t>Ειδικευμένους Εμπειρογνώμονες</w:t>
        </w:r>
      </w:hyperlink>
      <w:r w:rsidRPr="00CC7B17">
        <w:rPr>
          <w:rFonts w:eastAsia="Times New Roman" w:cstheme="minorHAnsi"/>
          <w:color w:val="212529"/>
          <w:sz w:val="24"/>
          <w:szCs w:val="24"/>
        </w:rPr>
        <w:t> </w:t>
      </w:r>
      <w:r w:rsidRPr="00CC7B17">
        <w:rPr>
          <w:rFonts w:eastAsia="Times New Roman" w:cstheme="minorHAnsi"/>
          <w:color w:val="212529"/>
          <w:sz w:val="24"/>
          <w:szCs w:val="24"/>
          <w:lang w:val="el-GR"/>
        </w:rPr>
        <w:t>των οποίων τα προσόντα και οι υποχρεώσεις καθορίζονται σε σχετικούς Κανονισμούς. Η Υπηρεσία Ενέργειας του Υπουργείου Εμπορίου διατηρεί μητρώο όλων των Ειδικευμένων Εμπειρογνωμόνων. Μέρος του μητρώου που περιλαμβάνει τα ονόματα και τα στοιχεία επικοινωνίας των Ειδικευμένων Εμπειρογνωμόνων είναι διαθέσιμα στο Σύστημα Ενεργειακής Πιστοποίησης Κτιρίων</w:t>
      </w:r>
      <w:r w:rsidRPr="00CC7B17">
        <w:rPr>
          <w:rStyle w:val="FootnoteReference"/>
          <w:rFonts w:eastAsia="Times New Roman" w:cstheme="minorHAnsi"/>
          <w:color w:val="212529"/>
          <w:sz w:val="24"/>
          <w:szCs w:val="24"/>
          <w:lang w:val="el-GR"/>
        </w:rPr>
        <w:footnoteReference w:id="3"/>
      </w:r>
      <w:r w:rsidRPr="00CC7B17">
        <w:rPr>
          <w:rFonts w:eastAsia="Times New Roman" w:cstheme="minorHAnsi"/>
          <w:color w:val="212529"/>
          <w:sz w:val="24"/>
          <w:szCs w:val="24"/>
          <w:lang w:val="el-GR"/>
        </w:rPr>
        <w:t>.</w:t>
      </w:r>
    </w:p>
    <w:p w14:paraId="02CEFB6A" w14:textId="77777777" w:rsidR="00D37BFA" w:rsidRPr="00CC7B17" w:rsidRDefault="00D37BFA" w:rsidP="00D37BFA">
      <w:pPr>
        <w:shd w:val="clear" w:color="auto" w:fill="FFFFFF"/>
        <w:spacing w:after="100" w:afterAutospacing="1" w:line="240" w:lineRule="auto"/>
        <w:jc w:val="both"/>
        <w:rPr>
          <w:rFonts w:eastAsia="Times New Roman" w:cstheme="minorHAnsi"/>
          <w:color w:val="212529"/>
          <w:sz w:val="24"/>
          <w:szCs w:val="24"/>
          <w:lang w:val="el-GR"/>
        </w:rPr>
      </w:pPr>
      <w:r>
        <w:rPr>
          <w:rFonts w:cstheme="minorHAnsi"/>
          <w:sz w:val="24"/>
          <w:szCs w:val="24"/>
          <w:lang w:val="el-GR"/>
        </w:rPr>
        <w:t xml:space="preserve">Σε περίπτωση όπου ο ιδιοκτήτης δεν διαθέτει το ΠΕΑ </w:t>
      </w:r>
      <w:r w:rsidRPr="00CC7B17">
        <w:rPr>
          <w:rFonts w:cstheme="minorHAnsi"/>
          <w:sz w:val="24"/>
          <w:szCs w:val="24"/>
          <w:lang w:val="el-GR"/>
        </w:rPr>
        <w:t>θα πρέπει να γίνει γραπτή καταγγελία στην Υπηρεσία Ενέργειας και εφόσον η παραβίαση επιβεβαιωθεί, ο παραβάτης θα κληθεί να συμμορφωθεί εντός εύλογου χρονικού διαστήματος. Η μη συμμόρφωση δίνει το δικαίωμα στην αρμόδια αρχή να επιβάλει διοικητικό πρόστιμο ή ακόμα και τη λήψη δικαστικών μέτρων.</w:t>
      </w:r>
    </w:p>
    <w:p w14:paraId="088C4E42" w14:textId="77777777" w:rsidR="00D37BFA" w:rsidRPr="00D37BFA" w:rsidRDefault="00D37BFA">
      <w:pPr>
        <w:rPr>
          <w:lang w:val="el-GR"/>
        </w:rPr>
      </w:pPr>
    </w:p>
    <w:p w14:paraId="2663ED45" w14:textId="0D7CB5E0" w:rsidR="001067D4" w:rsidRPr="001067D4" w:rsidRDefault="00D37BFA">
      <w:pPr>
        <w:rPr>
          <w:lang w:val="el-GR"/>
        </w:rPr>
      </w:pPr>
      <w:r>
        <w:rPr>
          <w:rFonts w:cstheme="minorHAnsi"/>
          <w:noProof/>
          <w:sz w:val="24"/>
          <w:szCs w:val="24"/>
        </w:rPr>
        <w:lastRenderedPageBreak/>
        <w:drawing>
          <wp:anchor distT="0" distB="0" distL="114300" distR="114300" simplePos="0" relativeHeight="251659264" behindDoc="1" locked="0" layoutInCell="1" allowOverlap="1" wp14:anchorId="420D5C93" wp14:editId="6AA58AEB">
            <wp:simplePos x="0" y="0"/>
            <wp:positionH relativeFrom="column">
              <wp:posOffset>0</wp:posOffset>
            </wp:positionH>
            <wp:positionV relativeFrom="paragraph">
              <wp:posOffset>257175</wp:posOffset>
            </wp:positionV>
            <wp:extent cx="4572000" cy="5040630"/>
            <wp:effectExtent l="0" t="0" r="0" b="7620"/>
            <wp:wrapTight wrapText="bothSides">
              <wp:wrapPolygon edited="0">
                <wp:start x="0" y="0"/>
                <wp:lineTo x="0" y="21551"/>
                <wp:lineTo x="21510" y="21551"/>
                <wp:lineTo x="215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4572000" cy="5040630"/>
                    </a:xfrm>
                    <a:prstGeom prst="rect">
                      <a:avLst/>
                    </a:prstGeom>
                  </pic:spPr>
                </pic:pic>
              </a:graphicData>
            </a:graphic>
            <wp14:sizeRelH relativeFrom="page">
              <wp14:pctWidth>0</wp14:pctWidth>
            </wp14:sizeRelH>
            <wp14:sizeRelV relativeFrom="page">
              <wp14:pctHeight>0</wp14:pctHeight>
            </wp14:sizeRelV>
          </wp:anchor>
        </w:drawing>
      </w:r>
    </w:p>
    <w:p w14:paraId="0F75A17F" w14:textId="77777777" w:rsidR="001067D4" w:rsidRPr="001067D4" w:rsidRDefault="001067D4" w:rsidP="001067D4">
      <w:pPr>
        <w:rPr>
          <w:lang w:val="el-GR"/>
        </w:rPr>
      </w:pPr>
    </w:p>
    <w:p w14:paraId="47C7D823" w14:textId="77777777" w:rsidR="001067D4" w:rsidRPr="001067D4" w:rsidRDefault="001067D4" w:rsidP="001067D4">
      <w:pPr>
        <w:rPr>
          <w:lang w:val="el-GR"/>
        </w:rPr>
      </w:pPr>
    </w:p>
    <w:p w14:paraId="2C388532" w14:textId="77777777" w:rsidR="001067D4" w:rsidRPr="001067D4" w:rsidRDefault="001067D4" w:rsidP="001067D4">
      <w:pPr>
        <w:rPr>
          <w:lang w:val="el-GR"/>
        </w:rPr>
      </w:pPr>
    </w:p>
    <w:p w14:paraId="1F6C5294" w14:textId="77777777" w:rsidR="001067D4" w:rsidRPr="001067D4" w:rsidRDefault="001067D4" w:rsidP="001067D4">
      <w:pPr>
        <w:rPr>
          <w:lang w:val="el-GR"/>
        </w:rPr>
      </w:pPr>
    </w:p>
    <w:p w14:paraId="79649CAC" w14:textId="77777777" w:rsidR="001067D4" w:rsidRPr="001067D4" w:rsidRDefault="001067D4" w:rsidP="001067D4">
      <w:pPr>
        <w:rPr>
          <w:lang w:val="el-GR"/>
        </w:rPr>
      </w:pPr>
    </w:p>
    <w:p w14:paraId="045A0B06" w14:textId="23DB64C1" w:rsidR="001067D4" w:rsidRPr="001067D4" w:rsidRDefault="001067D4" w:rsidP="001067D4">
      <w:pPr>
        <w:rPr>
          <w:lang w:val="el-GR"/>
        </w:rPr>
      </w:pPr>
    </w:p>
    <w:p w14:paraId="232A64A7" w14:textId="77777777" w:rsidR="001067D4" w:rsidRDefault="001067D4" w:rsidP="001067D4">
      <w:pPr>
        <w:rPr>
          <w:i/>
          <w:sz w:val="18"/>
          <w:lang w:val="el-GR"/>
        </w:rPr>
      </w:pPr>
      <w:r>
        <w:rPr>
          <w:i/>
          <w:sz w:val="18"/>
          <w:lang w:val="el-GR"/>
        </w:rPr>
        <w:t xml:space="preserve">Παράδειγμα ΠΕΑ </w:t>
      </w:r>
    </w:p>
    <w:p w14:paraId="32B4F3BD" w14:textId="67ACD20C" w:rsidR="001909D3" w:rsidRPr="001067D4" w:rsidRDefault="001067D4" w:rsidP="001067D4">
      <w:pPr>
        <w:rPr>
          <w:i/>
          <w:sz w:val="18"/>
          <w:lang w:val="el-GR"/>
        </w:rPr>
      </w:pPr>
      <w:r w:rsidRPr="001067D4">
        <w:rPr>
          <w:sz w:val="16"/>
          <w:lang w:val="el-GR"/>
        </w:rPr>
        <w:t>(Πηγή:</w:t>
      </w:r>
      <w:r>
        <w:rPr>
          <w:sz w:val="16"/>
          <w:lang w:val="el-GR"/>
        </w:rPr>
        <w:t xml:space="preserve"> </w:t>
      </w:r>
      <w:hyperlink r:id="rId10" w:history="1">
        <w:r w:rsidRPr="00FE5DE3">
          <w:rPr>
            <w:rStyle w:val="Hyperlink"/>
            <w:i/>
            <w:sz w:val="16"/>
            <w:lang w:val="el-GR"/>
          </w:rPr>
          <w:t>https://meci.gov.cy/gr</w:t>
        </w:r>
      </w:hyperlink>
      <w:r w:rsidRPr="001067D4">
        <w:rPr>
          <w:sz w:val="16"/>
          <w:lang w:val="el-GR"/>
        </w:rPr>
        <w:t>)</w:t>
      </w:r>
      <w:r>
        <w:rPr>
          <w:sz w:val="16"/>
          <w:lang w:val="el-GR"/>
        </w:rPr>
        <w:t xml:space="preserve"> </w:t>
      </w:r>
    </w:p>
    <w:sectPr w:rsidR="001909D3" w:rsidRPr="001067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1BF24" w14:textId="77777777" w:rsidR="00FA2B36" w:rsidRDefault="00FA2B36" w:rsidP="00D37BFA">
      <w:pPr>
        <w:spacing w:after="0" w:line="240" w:lineRule="auto"/>
      </w:pPr>
      <w:r>
        <w:separator/>
      </w:r>
    </w:p>
  </w:endnote>
  <w:endnote w:type="continuationSeparator" w:id="0">
    <w:p w14:paraId="7A82D8EC" w14:textId="77777777" w:rsidR="00FA2B36" w:rsidRDefault="00FA2B36" w:rsidP="00D37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979D9" w14:textId="77777777" w:rsidR="00FA2B36" w:rsidRDefault="00FA2B36" w:rsidP="00D37BFA">
      <w:pPr>
        <w:spacing w:after="0" w:line="240" w:lineRule="auto"/>
      </w:pPr>
      <w:r>
        <w:separator/>
      </w:r>
    </w:p>
  </w:footnote>
  <w:footnote w:type="continuationSeparator" w:id="0">
    <w:p w14:paraId="09DB6B4D" w14:textId="77777777" w:rsidR="00FA2B36" w:rsidRDefault="00FA2B36" w:rsidP="00D37BFA">
      <w:pPr>
        <w:spacing w:after="0" w:line="240" w:lineRule="auto"/>
      </w:pPr>
      <w:r>
        <w:continuationSeparator/>
      </w:r>
    </w:p>
  </w:footnote>
  <w:footnote w:id="1">
    <w:p w14:paraId="598FBAF1" w14:textId="77777777" w:rsidR="00D37BFA" w:rsidRPr="00D25F57" w:rsidRDefault="00D37BFA" w:rsidP="00D37BFA">
      <w:pPr>
        <w:pStyle w:val="FootnoteText"/>
        <w:rPr>
          <w:lang w:val="el-GR"/>
        </w:rPr>
      </w:pPr>
      <w:r>
        <w:rPr>
          <w:rStyle w:val="FootnoteReference"/>
        </w:rPr>
        <w:footnoteRef/>
      </w:r>
      <w:r w:rsidRPr="00D25F57">
        <w:rPr>
          <w:lang w:val="el-GR"/>
        </w:rPr>
        <w:t xml:space="preserve"> </w:t>
      </w:r>
      <w:r>
        <w:rPr>
          <w:lang w:val="el-GR"/>
        </w:rPr>
        <w:t xml:space="preserve">Πηγή: </w:t>
      </w:r>
      <w:r w:rsidRPr="00D25F57">
        <w:rPr>
          <w:lang w:val="el-GR"/>
        </w:rPr>
        <w:t>Ο περί Ρύθμισης της Ενεργειακής Απόδοσης των Κτιρίων Νόμος του 2006 (Ν. 142(I)/2006)</w:t>
      </w:r>
      <w:r>
        <w:rPr>
          <w:lang w:val="el-GR"/>
        </w:rPr>
        <w:t xml:space="preserve"> </w:t>
      </w:r>
    </w:p>
  </w:footnote>
  <w:footnote w:id="2">
    <w:p w14:paraId="7A039A8C" w14:textId="77777777" w:rsidR="00D37BFA" w:rsidRPr="00143BE9" w:rsidRDefault="00D37BFA" w:rsidP="00D37BFA">
      <w:pPr>
        <w:pStyle w:val="FootnoteText"/>
        <w:rPr>
          <w:lang w:val="el-GR"/>
        </w:rPr>
      </w:pPr>
      <w:r>
        <w:rPr>
          <w:rStyle w:val="FootnoteReference"/>
        </w:rPr>
        <w:footnoteRef/>
      </w:r>
      <w:r w:rsidRPr="00143BE9">
        <w:rPr>
          <w:lang w:val="el-GR"/>
        </w:rPr>
        <w:t xml:space="preserve"> </w:t>
      </w:r>
      <w:r>
        <w:rPr>
          <w:lang w:val="el-GR"/>
        </w:rPr>
        <w:t>Πηγή:</w:t>
      </w:r>
      <w:r w:rsidRPr="00143BE9">
        <w:rPr>
          <w:lang w:val="el-GR"/>
        </w:rPr>
        <w:t xml:space="preserve"> </w:t>
      </w:r>
      <w:r w:rsidR="00FA2B36">
        <w:fldChar w:fldCharType="begin"/>
      </w:r>
      <w:r w:rsidR="00FA2B36" w:rsidRPr="001067D4">
        <w:rPr>
          <w:lang w:val="el-GR"/>
        </w:rPr>
        <w:instrText xml:space="preserve"> </w:instrText>
      </w:r>
      <w:r w:rsidR="00FA2B36">
        <w:instrText>HYPERLINK</w:instrText>
      </w:r>
      <w:r w:rsidR="00FA2B36" w:rsidRPr="001067D4">
        <w:rPr>
          <w:lang w:val="el-GR"/>
        </w:rPr>
        <w:instrText xml:space="preserve"> "</w:instrText>
      </w:r>
      <w:r w:rsidR="00FA2B36">
        <w:instrText>https</w:instrText>
      </w:r>
      <w:r w:rsidR="00FA2B36" w:rsidRPr="001067D4">
        <w:rPr>
          <w:lang w:val="el-GR"/>
        </w:rPr>
        <w:instrText>://</w:instrText>
      </w:r>
      <w:r w:rsidR="00FA2B36">
        <w:instrText>www</w:instrText>
      </w:r>
      <w:r w:rsidR="00FA2B36" w:rsidRPr="001067D4">
        <w:rPr>
          <w:lang w:val="el-GR"/>
        </w:rPr>
        <w:instrText>.</w:instrText>
      </w:r>
      <w:r w:rsidR="00FA2B36">
        <w:instrText>cea</w:instrText>
      </w:r>
      <w:r w:rsidR="00FA2B36" w:rsidRPr="001067D4">
        <w:rPr>
          <w:lang w:val="el-GR"/>
        </w:rPr>
        <w:instrText>.</w:instrText>
      </w:r>
      <w:r w:rsidR="00FA2B36">
        <w:instrText>org</w:instrText>
      </w:r>
      <w:r w:rsidR="00FA2B36" w:rsidRPr="001067D4">
        <w:rPr>
          <w:lang w:val="el-GR"/>
        </w:rPr>
        <w:instrText>.</w:instrText>
      </w:r>
      <w:r w:rsidR="00FA2B36">
        <w:instrText>cy</w:instrText>
      </w:r>
      <w:r w:rsidR="00FA2B36" w:rsidRPr="001067D4">
        <w:rPr>
          <w:lang w:val="el-GR"/>
        </w:rPr>
        <w:instrText>/</w:instrText>
      </w:r>
      <w:r w:rsidR="00FA2B36">
        <w:instrText>energeiaki</w:instrText>
      </w:r>
      <w:r w:rsidR="00FA2B36" w:rsidRPr="001067D4">
        <w:rPr>
          <w:lang w:val="el-GR"/>
        </w:rPr>
        <w:instrText>-</w:instrText>
      </w:r>
      <w:r w:rsidR="00FA2B36">
        <w:instrText>apodosi</w:instrText>
      </w:r>
      <w:r w:rsidR="00FA2B36" w:rsidRPr="001067D4">
        <w:rPr>
          <w:lang w:val="el-GR"/>
        </w:rPr>
        <w:instrText>-</w:instrText>
      </w:r>
      <w:r w:rsidR="00FA2B36">
        <w:instrText>ktirion</w:instrText>
      </w:r>
      <w:r w:rsidR="00FA2B36" w:rsidRPr="001067D4">
        <w:rPr>
          <w:lang w:val="el-GR"/>
        </w:rPr>
        <w:instrText xml:space="preserve">/" </w:instrText>
      </w:r>
      <w:r w:rsidR="00FA2B36">
        <w:fldChar w:fldCharType="separate"/>
      </w:r>
      <w:r w:rsidRPr="00EF7D89">
        <w:rPr>
          <w:rStyle w:val="Hyperlink"/>
          <w:lang w:val="el-GR"/>
        </w:rPr>
        <w:t>https://www.cea.org.cy/energeiaki-apodosi-ktirion/</w:t>
      </w:r>
      <w:r w:rsidR="00FA2B36">
        <w:rPr>
          <w:rStyle w:val="Hyperlink"/>
          <w:lang w:val="el-GR"/>
        </w:rPr>
        <w:fldChar w:fldCharType="end"/>
      </w:r>
      <w:r>
        <w:rPr>
          <w:lang w:val="el-GR"/>
        </w:rPr>
        <w:t xml:space="preserve"> </w:t>
      </w:r>
    </w:p>
  </w:footnote>
  <w:footnote w:id="3">
    <w:p w14:paraId="774CEC62" w14:textId="77777777" w:rsidR="00D37BFA" w:rsidRPr="006A2D65" w:rsidRDefault="00D37BFA" w:rsidP="00D37BFA">
      <w:pPr>
        <w:pStyle w:val="FootnoteText"/>
        <w:rPr>
          <w:lang w:val="el-GR"/>
        </w:rPr>
      </w:pPr>
      <w:r>
        <w:rPr>
          <w:rStyle w:val="FootnoteReference"/>
        </w:rPr>
        <w:footnoteRef/>
      </w:r>
      <w:r w:rsidRPr="006A2D65">
        <w:rPr>
          <w:lang w:val="el-GR"/>
        </w:rPr>
        <w:t xml:space="preserve"> </w:t>
      </w:r>
      <w:r>
        <w:rPr>
          <w:lang w:val="el-GR"/>
        </w:rPr>
        <w:t xml:space="preserve">Πηγή: </w:t>
      </w:r>
      <w:r w:rsidR="00FA2B36">
        <w:fldChar w:fldCharType="begin"/>
      </w:r>
      <w:r w:rsidR="00FA2B36" w:rsidRPr="001067D4">
        <w:rPr>
          <w:lang w:val="el-GR"/>
        </w:rPr>
        <w:instrText xml:space="preserve"> </w:instrText>
      </w:r>
      <w:r w:rsidR="00FA2B36">
        <w:instrText>HYPERLINK</w:instrText>
      </w:r>
      <w:r w:rsidR="00FA2B36" w:rsidRPr="001067D4">
        <w:rPr>
          <w:lang w:val="el-GR"/>
        </w:rPr>
        <w:instrText xml:space="preserve"> "</w:instrText>
      </w:r>
      <w:r w:rsidR="00FA2B36">
        <w:instrText>https</w:instrText>
      </w:r>
      <w:r w:rsidR="00FA2B36" w:rsidRPr="001067D4">
        <w:rPr>
          <w:lang w:val="el-GR"/>
        </w:rPr>
        <w:instrText>://</w:instrText>
      </w:r>
      <w:r w:rsidR="00FA2B36">
        <w:instrText>energy</w:instrText>
      </w:r>
      <w:r w:rsidR="00FA2B36" w:rsidRPr="001067D4">
        <w:rPr>
          <w:lang w:val="el-GR"/>
        </w:rPr>
        <w:instrText>.</w:instrText>
      </w:r>
      <w:r w:rsidR="00FA2B36">
        <w:instrText>gov</w:instrText>
      </w:r>
      <w:r w:rsidR="00FA2B36" w:rsidRPr="001067D4">
        <w:rPr>
          <w:lang w:val="el-GR"/>
        </w:rPr>
        <w:instrText>.</w:instrText>
      </w:r>
      <w:r w:rsidR="00FA2B36">
        <w:instrText>cy</w:instrText>
      </w:r>
      <w:r w:rsidR="00FA2B36" w:rsidRPr="001067D4">
        <w:rPr>
          <w:lang w:val="el-GR"/>
        </w:rPr>
        <w:instrText>/</w:instrText>
      </w:r>
      <w:r w:rsidR="00FA2B36">
        <w:instrText>secondary</w:instrText>
      </w:r>
      <w:r w:rsidR="00FA2B36" w:rsidRPr="001067D4">
        <w:rPr>
          <w:lang w:val="el-GR"/>
        </w:rPr>
        <w:instrText>-</w:instrText>
      </w:r>
      <w:r w:rsidR="00FA2B36">
        <w:instrText>menu</w:instrText>
      </w:r>
      <w:r w:rsidR="00FA2B36" w:rsidRPr="001067D4">
        <w:rPr>
          <w:lang w:val="el-GR"/>
        </w:rPr>
        <w:instrText xml:space="preserve">/τομείς-πολιτικής/ενεργειακή-απόδοση-κτιρίων/πιστοποιητικό-ενεργειακής-απόδοσης/" </w:instrText>
      </w:r>
      <w:r w:rsidR="00FA2B36">
        <w:fldChar w:fldCharType="separate"/>
      </w:r>
      <w:r>
        <w:rPr>
          <w:rStyle w:val="Hyperlink"/>
        </w:rPr>
        <w:t>h</w:t>
      </w:r>
      <w:r>
        <w:rPr>
          <w:rStyle w:val="Hyperlink"/>
          <w:lang w:val="el-GR"/>
        </w:rPr>
        <w:t>ttps://energy.gov.cy/secondary-menu/τομείς-πολιτικής/ενεργειακή-απόδοση-κτιρίων/πιστοποιητικό-ενεργειακής-απόδοσης/</w:t>
      </w:r>
      <w:r w:rsidR="00FA2B36">
        <w:rPr>
          <w:rStyle w:val="Hyperlink"/>
          <w:lang w:val="el-GR"/>
        </w:rP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D37E8"/>
    <w:multiLevelType w:val="multilevel"/>
    <w:tmpl w:val="0CC40B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3884A0B"/>
    <w:multiLevelType w:val="multilevel"/>
    <w:tmpl w:val="BEC29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094"/>
    <w:rsid w:val="000E3E56"/>
    <w:rsid w:val="001067D4"/>
    <w:rsid w:val="001909D3"/>
    <w:rsid w:val="00531815"/>
    <w:rsid w:val="00912094"/>
    <w:rsid w:val="00D37BFA"/>
    <w:rsid w:val="00FA2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D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FA"/>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780007293xydpdfef626msolistparagraph">
    <w:name w:val="yiv1780007293x_ydpdfef626msolistparagraph"/>
    <w:basedOn w:val="Normal"/>
    <w:rsid w:val="00D37B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37BFA"/>
    <w:rPr>
      <w:color w:val="0563C1" w:themeColor="hyperlink"/>
      <w:u w:val="single"/>
    </w:rPr>
  </w:style>
  <w:style w:type="paragraph" w:styleId="FootnoteText">
    <w:name w:val="footnote text"/>
    <w:basedOn w:val="Normal"/>
    <w:link w:val="FootnoteTextChar"/>
    <w:uiPriority w:val="99"/>
    <w:semiHidden/>
    <w:unhideWhenUsed/>
    <w:rsid w:val="00D37B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7BFA"/>
    <w:rPr>
      <w:kern w:val="0"/>
      <w:sz w:val="20"/>
      <w:szCs w:val="20"/>
      <w14:ligatures w14:val="none"/>
    </w:rPr>
  </w:style>
  <w:style w:type="character" w:styleId="FootnoteReference">
    <w:name w:val="footnote reference"/>
    <w:basedOn w:val="DefaultParagraphFont"/>
    <w:uiPriority w:val="99"/>
    <w:semiHidden/>
    <w:unhideWhenUsed/>
    <w:rsid w:val="00D37B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FA"/>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780007293xydpdfef626msolistparagraph">
    <w:name w:val="yiv1780007293x_ydpdfef626msolistparagraph"/>
    <w:basedOn w:val="Normal"/>
    <w:rsid w:val="00D37B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37BFA"/>
    <w:rPr>
      <w:color w:val="0563C1" w:themeColor="hyperlink"/>
      <w:u w:val="single"/>
    </w:rPr>
  </w:style>
  <w:style w:type="paragraph" w:styleId="FootnoteText">
    <w:name w:val="footnote text"/>
    <w:basedOn w:val="Normal"/>
    <w:link w:val="FootnoteTextChar"/>
    <w:uiPriority w:val="99"/>
    <w:semiHidden/>
    <w:unhideWhenUsed/>
    <w:rsid w:val="00D37B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7BFA"/>
    <w:rPr>
      <w:kern w:val="0"/>
      <w:sz w:val="20"/>
      <w:szCs w:val="20"/>
      <w14:ligatures w14:val="none"/>
    </w:rPr>
  </w:style>
  <w:style w:type="character" w:styleId="FootnoteReference">
    <w:name w:val="footnote reference"/>
    <w:basedOn w:val="DefaultParagraphFont"/>
    <w:uiPriority w:val="99"/>
    <w:semiHidden/>
    <w:unhideWhenUsed/>
    <w:rsid w:val="00D37B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95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ergy.gov.cy/secondary-menu/%CF%84%CE%BF%CE%BC%CE%B5%CE%AF%CF%82-%CF%80%CE%BF%CE%BB%CE%B9%CF%84%CE%B9%CE%BA%CE%AE%CF%82/%CE%B5%CE%BD%CE%B5%CF%81%CE%B3%CE%B5%CE%B9%CE%B1%CE%BA%CE%AE-%CE%B1%CF%80%CF%8C%CE%B4%CE%BF%CF%83%CE%B7-%CE%BA%CF%84%CE%B9%CF%81%CE%AF%CF%89%CE%BD/%CE%B5%CE%B9%CE%B4%CE%B9%CE%BA%CE%B5%CF%85%CE%BC%CE%AD%CE%BD%CE%BF%CE%B9-%CE%B5%CE%BC%CF%80%CE%B5%CE%B9%CF%81%CE%BF%CE%B3%CE%BD%CF%8E%CE%BC%CE%BF%CE%BD%CE%B5%CF%8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eci.gov.cy/gr"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640</Words>
  <Characters>3651</Characters>
  <Application>Microsoft Office Word</Application>
  <DocSecurity>0</DocSecurity>
  <Lines>30</Lines>
  <Paragraphs>8</Paragraphs>
  <ScaleCrop>false</ScaleCrop>
  <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Μάριος Δρουσιώτης</dc:creator>
  <cp:keywords/>
  <dc:description/>
  <cp:lastModifiedBy>user</cp:lastModifiedBy>
  <cp:revision>6</cp:revision>
  <dcterms:created xsi:type="dcterms:W3CDTF">2023-09-22T05:44:00Z</dcterms:created>
  <dcterms:modified xsi:type="dcterms:W3CDTF">2023-09-25T08:55:00Z</dcterms:modified>
</cp:coreProperties>
</file>